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29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Norway, Sweden &amp; Ukraine — Northern Europe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#35/#39/#36 · Nordics &amp; Ukraine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2025 Article IV Staff Report</w:t>
      </w:r>
      <w:r>
        <w:t xml:space="preserve">  (IMF · Norway · 2025)</w:t>
      </w:r>
    </w:p>
    <w:p>
      <w:pPr>
        <w:pStyle w:val="ListBullet"/>
      </w:pPr>
      <w:r>
        <w:rPr>
          <w:b/>
        </w:rPr>
        <w:t>Doc2 — 2025 Article IV Staff Report</w:t>
      </w:r>
      <w:r>
        <w:t xml:space="preserve">  (IMF · Sweden · 2025)</w:t>
      </w:r>
    </w:p>
    <w:p>
      <w:pPr>
        <w:pStyle w:val="ListBullet"/>
      </w:pPr>
      <w:r>
        <w:rPr>
          <w:b/>
        </w:rPr>
        <w:t>Doc3 — Eighth Review Under the EFF Staff Report</w:t>
      </w:r>
      <w:r>
        <w:t xml:space="preserve">  (IMF · Ukraine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https://meetings.imf.org/-/media/Files/Publications/CR/2025/English/1norea2025001-source-pdf.ashx</w:t>
      </w:r>
    </w:p>
    <w:p>
      <w:pPr>
        <w:pStyle w:val="ListBullet"/>
      </w:pPr>
      <w:r>
        <w:rPr>
          <w:b/>
        </w:rPr>
        <w:t xml:space="preserve">Doc2: </w:t>
      </w:r>
      <w:r>
        <w:t>https://meetings.imf.org/-/media/Files/Publications/CR/2025/English/1sweea2025001-print-pdf.ashx</w:t>
      </w:r>
    </w:p>
    <w:p>
      <w:pPr>
        <w:pStyle w:val="ListBullet"/>
      </w:pPr>
      <w:r>
        <w:rPr>
          <w:b/>
        </w:rPr>
        <w:t xml:space="preserve">Doc3: </w:t>
      </w:r>
      <w:r>
        <w:t>https://meetings.imf.org/-/media/Files/Publications/CR/2025/English/1ukrea2025002-print-pdf.ashx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The documents cover Norway, Sweden, Ukraine — chosen so you can compare economies that face related questions.</w:t>
      </w:r>
    </w:p>
    <w:p>
      <w:pPr>
        <w:pStyle w:val="ListBullet"/>
      </w:pPr>
      <w:r>
        <w:t>All three are from the same issuer (IMF), so differences come from timing and content, not house style.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comparison table (one column per country) for growth, inflation, policy stance, and main message — then name the biggest agreement and disagreement, each with a quote.</w:t>
      </w:r>
    </w:p>
    <w:p>
      <w:pPr>
        <w:pStyle w:val="ListBullet"/>
      </w:pPr>
      <w:r>
        <w:t>Classify each document's outlook (positive / mixed / negative) and policy direction (tighten / ease / hold), and see whether countries in the same region are moving together.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