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27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Belgium, Ireland &amp; the euro core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#31/#34 · Belgium &amp; Ireland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Belgium · 2025)</w:t>
      </w:r>
    </w:p>
    <w:p>
      <w:pPr>
        <w:pStyle w:val="ListBullet"/>
      </w:pPr>
      <w:r>
        <w:rPr>
          <w:b/>
        </w:rPr>
        <w:t>Doc2 — Staff Concluding Statement, 2025 Art IV Mission</w:t>
      </w:r>
      <w:r>
        <w:t xml:space="preserve">  (IMF · Belgium · 2025)</w:t>
      </w:r>
    </w:p>
    <w:p>
      <w:pPr>
        <w:pStyle w:val="ListBullet"/>
      </w:pPr>
      <w:r>
        <w:rPr>
          <w:b/>
        </w:rPr>
        <w:t>Doc3 — 2025 Article IV Staff Report</w:t>
      </w:r>
      <w:r>
        <w:t xml:space="preserve">  (IMF · Ireland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https://www.imf.org/-/media/files/publications/cr/2025/english/1belea2025001-print-pdf.pdf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https://www.imf.org/en/news/articles/2025/02/04/mcs020425-belgium-2025-article-iv-mission</w:t>
      </w:r>
    </w:p>
    <w:p>
      <w:pPr>
        <w:pStyle w:val="ListBullet"/>
      </w:pPr>
      <w:r>
        <w:rPr>
          <w:b/>
        </w:rPr>
        <w:t xml:space="preserve">Doc3: </w:t>
      </w:r>
      <w:r>
        <w:t>https://meetings.imf.org/-/media/Files/Publications/CR/2025/English/1irlea2025001-print-pdf.ashx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Belgium, Ireland — chosen so you can compare economies that face related questions.</w:t>
      </w:r>
    </w:p>
    <w:p>
      <w:pPr>
        <w:pStyle w:val="ListBullet"/>
      </w:pPr>
      <w:r>
        <w:t>All three are from the same issuer (IMF), so differences come from timing and content, not house style.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