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24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Poland — three views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#27 · Poland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Poland · 2026)</w:t>
      </w:r>
    </w:p>
    <w:p>
      <w:pPr>
        <w:pStyle w:val="ListBullet"/>
      </w:pPr>
      <w:r>
        <w:rPr>
          <w:b/>
        </w:rPr>
        <w:t>Doc2 — Staff Concluding Statement, 2025 Art IV Mission</w:t>
      </w:r>
      <w:r>
        <w:t xml:space="preserve">  (IMF · Poland · 2025)</w:t>
      </w:r>
    </w:p>
    <w:p>
      <w:pPr>
        <w:pStyle w:val="ListBullet"/>
      </w:pPr>
      <w:r>
        <w:rPr>
          <w:b/>
        </w:rPr>
        <w:t>Doc3 — OECD Economic Survey: Poland 2023</w:t>
      </w:r>
      <w:r>
        <w:t xml:space="preserve">  (OECD · Poland · 2023)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https://www.imf.org/-/media/files/publications/cr/2026/english/1polea2026001-source-pdf.pdf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https://www.imf.org/en/news/articles/2025/11/24/cs-poland-staff-concluding-statement-of-the-2025-article-iv-mission</w:t>
      </w:r>
    </w:p>
    <w:p>
      <w:pPr>
        <w:pStyle w:val="ListBullet"/>
      </w:pPr>
      <w:r>
        <w:rPr>
          <w:b/>
        </w:rPr>
        <w:t xml:space="preserve">Doc3: </w:t>
      </w:r>
      <w:r>
        <w:t>https://www.oecd.org/en/publications/oecd-economic-surveys-poland-2023_6fc99a4b-en/full-report.html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Poland's economy.</w:t>
      </w:r>
    </w:p>
    <w:p>
      <w:pPr>
        <w:pStyle w:val="ListBullet"/>
      </w:pPr>
      <w:r>
        <w:t>They come from different institutions (IMF, OECD), so the same economy or question is described from more than one vantage point.</w:t>
      </w:r>
    </w:p>
    <w:p>
      <w:pPr>
        <w:pStyle w:val="ListBullet"/>
      </w:pPr>
      <w:r>
        <w:t>They span 2023–2026,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Poland's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