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b/>
          <w:i w:val="0"/>
          <w:color w:val="B8861E"/>
          <w:sz w:val="21"/>
        </w:rPr>
        <w:t>TEAM 23  ·  POLICY DOCUMENT PACKAGE</w:t>
      </w:r>
    </w:p>
    <w:p>
      <w:pPr>
        <w:spacing w:after="40" w:before="0"/>
      </w:pPr>
      <w:r>
        <w:rPr>
          <w:b/>
          <w:i w:val="0"/>
          <w:color w:val="071E38"/>
          <w:sz w:val="36"/>
        </w:rPr>
        <w:t>Taiwan &amp; Malaysia — the chip supply chain</w:t>
      </w:r>
    </w:p>
    <w:p>
      <w:pPr>
        <w:spacing w:after="200" w:before="0"/>
      </w:pPr>
      <w:r>
        <w:rPr>
          <w:b w:val="0"/>
          <w:i/>
          <w:color w:val="556677"/>
          <w:sz w:val="23"/>
        </w:rPr>
        <w:t>#25/#26 · Taiwan &amp; Malaysia</w:t>
      </w:r>
    </w:p>
    <w:p>
      <w:pPr>
        <w:pStyle w:val="Heading1"/>
      </w:pPr>
      <w:r>
        <w:t>The documents in this team</w:t>
      </w:r>
    </w:p>
    <w:p>
      <w:pPr>
        <w:pStyle w:val="ListBullet"/>
      </w:pPr>
      <w:r>
        <w:rPr>
          <w:b/>
        </w:rPr>
        <w:t>Doc1 — Monetary Policy Decision, 2025 Q4</w:t>
      </w:r>
      <w:r>
        <w:t xml:space="preserve">  (Central Bank of the ROC (Taiwan) · Taiwan · 2025)</w:t>
      </w:r>
    </w:p>
    <w:p>
      <w:pPr>
        <w:pStyle w:val="ListBullet"/>
      </w:pPr>
      <w:r>
        <w:rPr>
          <w:b/>
        </w:rPr>
        <w:t>Doc2 — Monetary Policy Decision, 2025 Q3</w:t>
      </w:r>
      <w:r>
        <w:t xml:space="preserve">  (Central Bank of the ROC (Taiwan) · Taiwan · 2025)</w:t>
      </w:r>
    </w:p>
    <w:p>
      <w:pPr>
        <w:pStyle w:val="ListBullet"/>
      </w:pPr>
      <w:r>
        <w:rPr>
          <w:b/>
        </w:rPr>
        <w:t>Doc3 — 2025 Article IV Staff Report</w:t>
      </w:r>
      <w:r>
        <w:t xml:space="preserve">  (IMF · Malaysia · 2025)</w:t>
      </w:r>
    </w:p>
    <w:p>
      <w:pPr>
        <w:pStyle w:val="Heading2"/>
      </w:pPr>
      <w:r>
        <w:t>Sources</w:t>
      </w:r>
    </w:p>
    <w:p>
      <w:pPr>
        <w:spacing w:after="120" w:before="0"/>
      </w:pPr>
      <w:r>
        <w:rPr>
          <w:b w:val="0"/>
          <w:i w:val="0"/>
          <w:sz w:val="22"/>
        </w:rPr>
        <w:t>Each document is a real, public policy document. Original sources:</w:t>
      </w:r>
    </w:p>
    <w:p>
      <w:pPr>
        <w:pStyle w:val="ListBullet"/>
      </w:pPr>
      <w:r>
        <w:rPr>
          <w:b/>
        </w:rPr>
        <w:t xml:space="preserve">Doc1: </w:t>
      </w:r>
      <w:r>
        <w:t>https://www.cbc.gov.tw/en/cp-448-189518-553d0-2.html</w:t>
      </w:r>
    </w:p>
    <w:p>
      <w:pPr>
        <w:pStyle w:val="ListBullet"/>
      </w:pPr>
      <w:r>
        <w:rPr>
          <w:b/>
        </w:rPr>
        <w:t xml:space="preserve">Doc2: </w:t>
      </w:r>
      <w:r>
        <w:t>https://www.cbc.gov.tw/en/cp-448-184103-86b4d-2.html</w:t>
      </w:r>
    </w:p>
    <w:p>
      <w:pPr>
        <w:pStyle w:val="ListBullet"/>
      </w:pPr>
      <w:r>
        <w:rPr>
          <w:b/>
        </w:rPr>
        <w:t xml:space="preserve">Doc3: </w:t>
      </w:r>
      <w:r>
        <w:t>https://www.imf.org/-/media/Files/Publications/CR/2025/English/1mysea2025001-print-pdf.ashx</w:t>
      </w:r>
    </w:p>
    <w:p>
      <w:pPr>
        <w:pStyle w:val="Heading1"/>
      </w:pPr>
      <w:r>
        <w:t>What these documents have in common</w:t>
      </w:r>
    </w:p>
    <w:p>
      <w:pPr>
        <w:pStyle w:val="ListBullet"/>
      </w:pPr>
      <w:r>
        <w:t>The documents cover Malaysia, Taiwan — chosen so you can compare economies that face related questions.</w:t>
      </w:r>
    </w:p>
    <w:p>
      <w:pPr>
        <w:pStyle w:val="ListBullet"/>
      </w:pPr>
      <w:r>
        <w:t>They come from different institutions (Central Bank of the ROC (Taiwan), IMF), so the same economy or question is described from more than one vantage point.</w:t>
      </w:r>
    </w:p>
    <w:p>
      <w:pPr>
        <w:pStyle w:val="ListBullet"/>
      </w:pPr>
      <w:r>
        <w:t>They are all from around 2025, giving a single-moment snapshot across sources.</w:t>
      </w:r>
    </w:p>
    <w:p>
      <w:pPr>
        <w:pStyle w:val="ListBullet"/>
      </w:pPr>
      <w:r>
        <w:t>Every document is a real, public policy document — the kind an analyst actually reads.</w:t>
      </w:r>
    </w:p>
    <w:p>
      <w:pPr>
        <w:pStyle w:val="Heading1"/>
      </w:pPr>
      <w:r>
        <w:t>What analysis is meaningful for this team</w:t>
      </w:r>
    </w:p>
    <w:p>
      <w:pPr>
        <w:spacing w:after="120" w:before="0"/>
      </w:pPr>
      <w:r>
        <w:rPr>
          <w:b w:val="0"/>
          <w:i w:val="0"/>
          <w:sz w:val="22"/>
        </w:rPr>
        <w:t>Suggested directions for Topic 3 (reading at scale) and Topic 4 (documents to analysis):</w:t>
      </w:r>
    </w:p>
    <w:p>
      <w:pPr>
        <w:pStyle w:val="ListBullet"/>
      </w:pPr>
      <w:r>
        <w:t>Build one comparison table (one column per country) for growth, inflation, policy stance, and main message — then name the biggest agreement and disagreement, each with a quote.</w:t>
      </w:r>
    </w:p>
    <w:p>
      <w:pPr>
        <w:pStyle w:val="ListBullet"/>
      </w:pPr>
      <w:r>
        <w:t>Classify each document's outlook (positive / mixed / negative) and policy direction (tighten / ease / hold), and see whether countries in the same region are moving together.</w:t>
      </w:r>
    </w:p>
    <w:p>
      <w:pPr>
        <w:pStyle w:val="ListBullet"/>
      </w:pPr>
      <w:r>
        <w:t>For the central-bank document, measure the policy tone on a hawkish–dovish scale and back it with the exact signal words (e.g. ‘inflation’, ‘elevated’, ‘support’, ‘ease’).</w:t>
      </w:r>
    </w:p>
    <w:p>
      <w:pPr>
        <w:pStyle w:val="ListBullet"/>
      </w:pPr>
      <w:r>
        <w:t>Extract every explicit figure (growth, inflation, policy rate, debt) into a table with the exact quote and source — and keep both numbers when two documents disagree.</w:t>
      </w:r>
    </w:p>
    <w:p>
      <w:pPr>
        <w:pStyle w:val="Heading2"/>
      </w:pPr>
      <w:r>
        <w:t>How to work with this team</w:t>
      </w:r>
    </w:p>
    <w:p>
      <w:pPr>
        <w:spacing w:after="120" w:before="0"/>
      </w:pPr>
      <w:r>
        <w:rPr>
          <w:b w:val="0"/>
          <w:i/>
          <w:color w:val="556677"/>
          <w:sz w:val="22"/>
        </w:rPr>
        <w:t>Upload Doc1, Doc2, and Doc3 together to a new Claude chat. The Topic 3 and Topic 4 prompts are written to work for any team because the files are always named the same way. Keep the grounding rule on the whole session: every claim needs a short exact quote and the document it came from; if a document does not say something, the answer is ‘not stated’.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