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20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Spain — three views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#21 · Spain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Spain · 2025)</w:t>
      </w:r>
    </w:p>
    <w:p>
      <w:pPr>
        <w:pStyle w:val="ListBullet"/>
      </w:pPr>
      <w:r>
        <w:rPr>
          <w:b/>
        </w:rPr>
        <w:t>Doc2 — IMF Board Concludes 2024 Article IV</w:t>
      </w:r>
      <w:r>
        <w:t xml:space="preserve">  (IMF · Spain · 2024)</w:t>
      </w:r>
    </w:p>
    <w:p>
      <w:pPr>
        <w:pStyle w:val="ListBullet"/>
      </w:pPr>
      <w:r>
        <w:rPr>
          <w:b/>
        </w:rPr>
        <w:t>Doc3 — OECD Economic Survey: Spain 2023</w:t>
      </w:r>
      <w:r>
        <w:t xml:space="preserve">  (OECD · Spain · 2023)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https://www.imf.org/en/publications/cr/issues/2025/06/05/spain-2025-article-iv-consultation-press-release-and-staff-report-567439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https://www.imf.org/en/news/articles/2024/06/05/pr-24207-spain-imf-executive-board-concludes-2024-article-iv-consultation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https://www.oecd.org/en/publications/oecd-economic-surveys-spain-2023_5b50cc51-en/full-report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Spain's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2023–2025,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Spain's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