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0"/>
      </w:pPr>
      <w:r>
        <w:rPr>
          <w:b/>
          <w:i w:val="0"/>
          <w:color w:val="B8861E"/>
          <w:sz w:val="21"/>
        </w:rPr>
        <w:t>TEAM 19  ·  POLICY DOCUMENT PACKAGE</w:t>
      </w:r>
    </w:p>
    <w:p>
      <w:pPr>
        <w:spacing w:after="40" w:before="0"/>
      </w:pPr>
      <w:r>
        <w:rPr>
          <w:b/>
          <w:i w:val="0"/>
          <w:color w:val="071E38"/>
          <w:sz w:val="36"/>
        </w:rPr>
        <w:t>Indonesia — Fund, Bank &amp; central bank</w:t>
      </w:r>
    </w:p>
    <w:p>
      <w:pPr>
        <w:spacing w:after="200" w:before="0"/>
      </w:pPr>
      <w:r>
        <w:rPr>
          <w:b w:val="0"/>
          <w:i/>
          <w:color w:val="556677"/>
          <w:sz w:val="23"/>
        </w:rPr>
        <w:t>#20 · Indonesia</w:t>
      </w:r>
    </w:p>
    <w:p>
      <w:pPr>
        <w:pStyle w:val="Heading1"/>
      </w:pPr>
      <w:r>
        <w:t>The documents in this team</w:t>
      </w:r>
    </w:p>
    <w:p>
      <w:pPr>
        <w:pStyle w:val="ListBullet"/>
      </w:pPr>
      <w:r>
        <w:rPr>
          <w:b/>
        </w:rPr>
        <w:t>Doc1 — 2025 Article IV Staff Report</w:t>
      </w:r>
      <w:r>
        <w:t xml:space="preserve">  (IMF · Indonesia · 2026)</w:t>
      </w:r>
    </w:p>
    <w:p>
      <w:pPr>
        <w:pStyle w:val="ListBullet"/>
      </w:pPr>
      <w:r>
        <w:rPr>
          <w:b/>
        </w:rPr>
        <w:t>Doc2 — Indonesia Economic Prospects, Dec 2025</w:t>
      </w:r>
      <w:r>
        <w:t xml:space="preserve">  (World Bank · Indonesia · 2025)</w:t>
      </w:r>
    </w:p>
    <w:p>
      <w:pPr>
        <w:pStyle w:val="ListBullet"/>
      </w:pPr>
      <w:r>
        <w:rPr>
          <w:b/>
        </w:rPr>
        <w:t>Doc3 — BI Rate Decision news release</w:t>
      </w:r>
      <w:r>
        <w:t xml:space="preserve">  (Bank Indonesia · Indonesia · 2025)</w:t>
      </w:r>
    </w:p>
    <w:p>
      <w:pPr>
        <w:pStyle w:val="Heading2"/>
      </w:pPr>
      <w:r>
        <w:t>Sources</w:t>
      </w:r>
    </w:p>
    <w:p>
      <w:pPr>
        <w:spacing w:after="120" w:before="0"/>
      </w:pPr>
      <w:r>
        <w:rPr>
          <w:b w:val="0"/>
          <w:i w:val="0"/>
          <w:sz w:val="22"/>
        </w:rPr>
        <w:t>Each document is a real, public policy document. Original sources:</w:t>
      </w:r>
    </w:p>
    <w:p>
      <w:pPr>
        <w:pStyle w:val="ListBullet"/>
      </w:pPr>
      <w:r>
        <w:rPr>
          <w:b/>
        </w:rPr>
        <w:t xml:space="preserve">Doc1: </w:t>
      </w:r>
      <w:r>
        <w:t>https://www.imf.org/-/media/files/publications/cr/2026/english/1idnea2026001-source-pdf.pdf</w:t>
      </w:r>
    </w:p>
    <w:p>
      <w:pPr>
        <w:pStyle w:val="ListBullet"/>
      </w:pPr>
      <w:r>
        <w:rPr>
          <w:b/>
        </w:rPr>
        <w:t xml:space="preserve">Doc2: </w:t>
      </w:r>
      <w:r>
        <w:t>https://thedocs.worldbank.org/en/doc/2058d67adda4a910ceab72209ddec8f3-0070012025/original/IEP-December-2025-Macro-Presentation.pdf</w:t>
      </w:r>
    </w:p>
    <w:p>
      <w:pPr>
        <w:pStyle w:val="ListBullet"/>
      </w:pPr>
      <w:r>
        <w:rPr>
          <w:b/>
        </w:rPr>
        <w:t xml:space="preserve">Doc3: </w:t>
      </w:r>
      <w:r>
        <w:t>https://www.bi.go.id/en/publikasi/ruang-media/news-release/Pages/sp_2730425.aspx</w:t>
      </w:r>
    </w:p>
    <w:p>
      <w:pPr>
        <w:pStyle w:val="Heading1"/>
      </w:pPr>
      <w:r>
        <w:t>What these documents have in common</w:t>
      </w:r>
    </w:p>
    <w:p>
      <w:pPr>
        <w:pStyle w:val="ListBullet"/>
      </w:pPr>
      <w:r>
        <w:t>All three documents are about Indonesia's economy.</w:t>
      </w:r>
    </w:p>
    <w:p>
      <w:pPr>
        <w:pStyle w:val="ListBullet"/>
      </w:pPr>
      <w:r>
        <w:t>They come from different institutions (Bank Indonesia, IMF, World Bank), so the same economy or question is described from more than one vantage point.</w:t>
      </w:r>
    </w:p>
    <w:p>
      <w:pPr>
        <w:pStyle w:val="ListBullet"/>
      </w:pPr>
      <w:r>
        <w:t>They span 2025–2026, which lets you track how the message changed over time.</w:t>
      </w:r>
    </w:p>
    <w:p>
      <w:pPr>
        <w:pStyle w:val="ListBullet"/>
      </w:pPr>
      <w:r>
        <w:t>Every document is a real, public policy document — the kind an analyst actually reads.</w:t>
      </w:r>
    </w:p>
    <w:p>
      <w:pPr>
        <w:pStyle w:val="Heading1"/>
      </w:pPr>
      <w:r>
        <w:t>What analysis is meaningful for this team</w:t>
      </w:r>
    </w:p>
    <w:p>
      <w:pPr>
        <w:spacing w:after="120" w:before="0"/>
      </w:pPr>
      <w:r>
        <w:rPr>
          <w:b w:val="0"/>
          <w:i w:val="0"/>
          <w:sz w:val="22"/>
        </w:rPr>
        <w:t>Suggested directions for Topic 3 (reading at scale) and Topic 4 (documents to analysis):</w:t>
      </w:r>
    </w:p>
    <w:p>
      <w:pPr>
        <w:pStyle w:val="ListBullet"/>
      </w:pPr>
      <w:r>
        <w:t>Build one grounded brief on Indonesia's outlook: pull growth, inflation, and the policy-rate stance from all three, with a quote behind every figure.</w:t>
      </w:r>
    </w:p>
    <w:p>
      <w:pPr>
        <w:pStyle w:val="ListBullet"/>
      </w:pPr>
      <w:r>
        <w:t>Compare how each institution frames the same economy — does the IMF sound more cautious than the central bank? Extract the tone of each and justify it with quotes.</w:t>
      </w:r>
    </w:p>
    <w:p>
      <w:pPr>
        <w:pStyle w:val="ListBullet"/>
      </w:pPr>
      <w:r>
        <w:t>For the central-bank document, measure the policy tone on a hawkish–dovish scale and back it with the exact signal words (e.g. ‘inflation’, ‘elevated’, ‘support’, ‘ease’).</w:t>
      </w:r>
    </w:p>
    <w:p>
      <w:pPr>
        <w:pStyle w:val="ListBullet"/>
      </w:pPr>
      <w:r>
        <w:t>Order the documents by date and describe the trend: is the tone becoming more hawkish or more dovish, more positive or more negative, over time?</w:t>
      </w:r>
    </w:p>
    <w:p>
      <w:pPr>
        <w:pStyle w:val="ListBullet"/>
      </w:pPr>
      <w:r>
        <w:t>Extract every explicit figure (growth, inflation, policy rate, debt) into a table with the exact quote and source — and keep both numbers when two documents disagree.</w:t>
      </w:r>
    </w:p>
    <w:p>
      <w:pPr>
        <w:pStyle w:val="Heading2"/>
      </w:pPr>
      <w:r>
        <w:t>How to work with this team</w:t>
      </w:r>
    </w:p>
    <w:p>
      <w:pPr>
        <w:spacing w:after="120" w:before="0"/>
      </w:pPr>
      <w:r>
        <w:rPr>
          <w:b w:val="0"/>
          <w:i/>
          <w:color w:val="556677"/>
          <w:sz w:val="22"/>
        </w:rPr>
        <w:t>Upload Doc1, Doc2, and Doc3 together to a new Claude chat. The Topic 3 and Topic 4 prompts are written to work for any team because the files are always named the same way. Keep the grounding rule on the whole session: every claim needs a short exact quote and the document it came from; if a document does not say something, the answer is ‘not stated’.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