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13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Mexico — the 2025 Article IV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#14 · Mexico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Mexico · 2025)</w:t>
      </w:r>
    </w:p>
    <w:p>
      <w:pPr>
        <w:pStyle w:val="ListBullet"/>
      </w:pPr>
      <w:r>
        <w:rPr>
          <w:b/>
        </w:rPr>
        <w:t>Doc2 — Staff Concluding Statement, 2025 Art IV Mission</w:t>
      </w:r>
      <w:r>
        <w:t xml:space="preserve">  (IMF · Mexico · 2025)</w:t>
      </w:r>
    </w:p>
    <w:p>
      <w:pPr>
        <w:pStyle w:val="ListBullet"/>
      </w:pPr>
      <w:r>
        <w:rPr>
          <w:b/>
        </w:rPr>
        <w:t>Doc3 — IMF Board Concludes 2025 Article IV</w:t>
      </w:r>
      <w:r>
        <w:t xml:space="preserve">  (IMF · Mexico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https://meetings.imf.org/-/media/Files/Publications/CR/2025/English/1mexea2025001-source-pdf.ashx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https://www.imf.org/en/news/articles/2025/09/19/cs-mexico-staff-concluding-statement-of-the-2025-article-iv-mission</w:t>
      </w:r>
    </w:p>
    <w:p>
      <w:pPr>
        <w:pStyle w:val="ListBullet"/>
      </w:pPr>
      <w:r>
        <w:rPr>
          <w:b/>
        </w:rPr>
        <w:t xml:space="preserve">Doc3: </w:t>
      </w:r>
      <w:r>
        <w:t>https://www.imf.org/en/News/Articles/2025/10/27/pr-25350-mexico-imf-executive-board-concludes-2025-article-iv-consultation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Mexico's economy.</w:t>
      </w:r>
    </w:p>
    <w:p>
      <w:pPr>
        <w:pStyle w:val="ListBullet"/>
      </w:pPr>
      <w:r>
        <w:t>All three are from the same issuer (IMF), so differences come from timing and content, not house style.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Mexico's outlook: pull growth, inflation, and the policy-rate stance from all three, with a quote behind every figure.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