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11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Saudi Arabia — Fund &amp; SAMA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#12 · Saudi Arabia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2025 Article IV Staff Report</w:t>
      </w:r>
      <w:r>
        <w:t xml:space="preserve">  (IMF · Saudi Arabia · 2025)</w:t>
      </w:r>
    </w:p>
    <w:p>
      <w:pPr>
        <w:pStyle w:val="ListBullet"/>
      </w:pPr>
      <w:r>
        <w:rPr>
          <w:b/>
        </w:rPr>
        <w:t>Doc2 — IMF Board Concludes 2025 Article IV</w:t>
      </w:r>
      <w:r>
        <w:t xml:space="preserve">  (IMF · Saudi Arabia · 2025)</w:t>
      </w:r>
    </w:p>
    <w:p>
      <w:pPr>
        <w:pStyle w:val="ListBullet"/>
      </w:pPr>
      <w:r>
        <w:rPr>
          <w:b/>
        </w:rPr>
        <w:t>Doc3 — SAMA Financial Stability Report 2025</w:t>
      </w:r>
      <w:r>
        <w:t xml:space="preserve">  (Saudi Central Bank · Saudi Arabia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https://www.imf.org/-/media/files/publications/cr/2025/english/1sauea2025001-source-pdf.pdf</w:t>
      </w:r>
    </w:p>
    <w:p>
      <w:pPr>
        <w:pStyle w:val="ListBullet"/>
      </w:pPr>
      <w:r>
        <w:rPr>
          <w:b/>
        </w:rPr>
        <w:t xml:space="preserve">Doc2: </w:t>
      </w:r>
      <w:r>
        <w:t>https://www.imf.org/en/News/Articles/2025/08/03/pr25275-saudi-arabia-imf-executive-board-concludes-2025-article-iv-consultation</w:t>
      </w:r>
    </w:p>
    <w:p>
      <w:pPr>
        <w:pStyle w:val="ListBullet"/>
      </w:pPr>
      <w:r>
        <w:rPr>
          <w:b/>
        </w:rPr>
        <w:t xml:space="preserve">Doc3: </w:t>
      </w:r>
      <w:r>
        <w:t>https://www.sama.gov.sa/en-US/Publications/FinanceReports/Financial%20Stability%20Report/Financial_Stability_Report_2025_En.pdf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Saudi Arabia's economy.</w:t>
      </w:r>
    </w:p>
    <w:p>
      <w:pPr>
        <w:pStyle w:val="ListBullet"/>
      </w:pPr>
      <w:r>
        <w:t>They come from different institutions (IMF, Saudi Central Bank), so the same economy or question is described from more than one vantage point.</w:t>
      </w:r>
    </w:p>
    <w:p>
      <w:pPr>
        <w:pStyle w:val="ListBullet"/>
      </w:pPr>
      <w:r>
        <w:t>They are all from around 2025, giving a single-moment snapshot across sources.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Saudi Arabia's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For the central-bank document, measure the policy tone on a hawkish–dovish scale and back it with the exact signal words (e.g. ‘inflation’, ‘elevated’, ‘support’, ‘ease’).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