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B8861E"/>
          <w:sz w:val="21"/>
        </w:rPr>
        <w:t>TEAM 08  ·  POLICY DOCUMENT PACKAGE</w:t>
      </w:r>
    </w:p>
    <w:p>
      <w:pPr>
        <w:spacing w:after="40" w:before="0"/>
      </w:pPr>
      <w:r>
        <w:rPr>
          <w:b/>
          <w:i w:val="0"/>
          <w:color w:val="071E38"/>
          <w:sz w:val="36"/>
        </w:rPr>
        <w:t>Russia &amp; Iran — sanctioned economies</w:t>
      </w:r>
    </w:p>
    <w:p>
      <w:pPr>
        <w:spacing w:after="200" w:before="0"/>
      </w:pPr>
      <w:r>
        <w:rPr>
          <w:b w:val="0"/>
          <w:i/>
          <w:color w:val="556677"/>
          <w:sz w:val="23"/>
        </w:rPr>
        <w:t>#8/#24 · Russia &amp; Iran</w:t>
      </w:r>
    </w:p>
    <w:p>
      <w:pPr>
        <w:pStyle w:val="Heading1"/>
      </w:pPr>
      <w:r>
        <w:t>The documents in this team</w:t>
      </w:r>
    </w:p>
    <w:p>
      <w:pPr>
        <w:pStyle w:val="ListBullet"/>
      </w:pPr>
      <w:r>
        <w:rPr>
          <w:b/>
        </w:rPr>
        <w:t>Doc1 — 2020 Article IV Staff Report (most recent available)</w:t>
      </w:r>
      <w:r>
        <w:t xml:space="preserve">  (IMF · Russia · 2021)</w:t>
      </w:r>
    </w:p>
    <w:p>
      <w:pPr>
        <w:pStyle w:val="ListBullet"/>
      </w:pPr>
      <w:r>
        <w:rPr>
          <w:b/>
        </w:rPr>
        <w:t>Doc2 — IMF Board Concludes 2020 Article IV</w:t>
      </w:r>
      <w:r>
        <w:t xml:space="preserve">  (IMF · Russia · 2021)</w:t>
      </w:r>
    </w:p>
    <w:p>
      <w:pPr>
        <w:pStyle w:val="ListBullet"/>
      </w:pPr>
      <w:r>
        <w:rPr>
          <w:b/>
        </w:rPr>
        <w:t>Doc3 — 2018 Article IV Staff Report (latest completed)</w:t>
      </w:r>
      <w:r>
        <w:t xml:space="preserve">  (IMF · Iran · 2018)</w:t>
      </w:r>
    </w:p>
    <w:p>
      <w:pPr>
        <w:pStyle w:val="Heading2"/>
      </w:pPr>
      <w:r>
        <w:t>Sources</w:t>
      </w:r>
    </w:p>
    <w:p>
      <w:pPr>
        <w:spacing w:after="120" w:before="0"/>
      </w:pPr>
      <w:r>
        <w:rPr>
          <w:b w:val="0"/>
          <w:i w:val="0"/>
          <w:sz w:val="22"/>
        </w:rPr>
        <w:t>Each document is a real, public policy document. Original sources:</w:t>
      </w:r>
    </w:p>
    <w:p>
      <w:pPr>
        <w:pStyle w:val="ListBullet"/>
      </w:pPr>
      <w:r>
        <w:rPr>
          <w:b/>
        </w:rPr>
        <w:t xml:space="preserve">Doc1: </w:t>
      </w:r>
      <w:r>
        <w:t>https://www.imf.org/-/media/Files/Publications/CR/2021/English/1RUSEA2021001.ashx</w:t>
      </w:r>
    </w:p>
    <w:p>
      <w:pPr>
        <w:pStyle w:val="ListBullet"/>
      </w:pPr>
      <w:r>
        <w:rPr>
          <w:b/>
        </w:rPr>
        <w:t xml:space="preserve">Doc2: </w:t>
      </w:r>
      <w:r>
        <w:t>https://www.imf.org/en/news/articles/2021/02/08/pr2136-russia-imf-executive-board-concludes-2020-article-iv-consultation</w:t>
      </w:r>
    </w:p>
    <w:p>
      <w:pPr>
        <w:pStyle w:val="ListBullet"/>
      </w:pPr>
      <w:r>
        <w:rPr>
          <w:b/>
        </w:rPr>
        <w:t xml:space="preserve">Doc3: </w:t>
      </w:r>
      <w:r>
        <w:t>https://imf.org/-/media/Files/Publications/CR/2018/cr1893.ashx</w:t>
      </w:r>
    </w:p>
    <w:p>
      <w:pPr>
        <w:pStyle w:val="Heading1"/>
      </w:pPr>
      <w:r>
        <w:t>What these documents have in common</w:t>
      </w:r>
    </w:p>
    <w:p>
      <w:pPr>
        <w:pStyle w:val="ListBullet"/>
      </w:pPr>
      <w:r>
        <w:t>The documents cover Iran, Russia — chosen so you can compare economies that face related questions.</w:t>
      </w:r>
    </w:p>
    <w:p>
      <w:pPr>
        <w:pStyle w:val="ListBullet"/>
      </w:pPr>
      <w:r>
        <w:t>All three are from the same issuer (IMF), so differences come from timing and content, not house style.</w:t>
      </w:r>
    </w:p>
    <w:p>
      <w:pPr>
        <w:pStyle w:val="ListBullet"/>
      </w:pPr>
      <w:r>
        <w:t>They span 2018–2021, which lets you track how the message changed over time.</w:t>
      </w:r>
    </w:p>
    <w:p>
      <w:pPr>
        <w:pStyle w:val="ListBullet"/>
      </w:pPr>
      <w:r>
        <w:t>Every document is a real, public policy document — the kind an analyst actually reads.</w:t>
      </w:r>
    </w:p>
    <w:p>
      <w:pPr>
        <w:pStyle w:val="Heading1"/>
      </w:pPr>
      <w:r>
        <w:t>What analysis is meaningful for this team</w:t>
      </w:r>
    </w:p>
    <w:p>
      <w:pPr>
        <w:spacing w:after="120" w:before="0"/>
      </w:pPr>
      <w:r>
        <w:rPr>
          <w:b w:val="0"/>
          <w:i w:val="0"/>
          <w:sz w:val="22"/>
        </w:rPr>
        <w:t>Suggested directions for Topic 3 (reading at scale) and Topic 4 (documents to analysis):</w:t>
      </w:r>
    </w:p>
    <w:p>
      <w:pPr>
        <w:pStyle w:val="ListBullet"/>
      </w:pPr>
      <w:r>
        <w:t>Build one comparison table (one column per country) for growth, inflation, policy stance, and main message — then name the biggest agreement and disagreement, each with a quote.</w:t>
      </w:r>
    </w:p>
    <w:p>
      <w:pPr>
        <w:pStyle w:val="ListBullet"/>
      </w:pPr>
      <w:r>
        <w:t>Classify each document's outlook (positive / mixed / negative) and policy direction (tighten / ease / hold), and see whether countries in the same region are moving together.</w:t>
      </w:r>
    </w:p>
    <w:p>
      <w:pPr>
        <w:pStyle w:val="ListBullet"/>
      </w:pPr>
      <w:r>
        <w:t>Order the documents by date and describe the trend: is the tone becoming more hawkish or more dovish, more positive or more negative, over time?</w:t>
      </w:r>
    </w:p>
    <w:p>
      <w:pPr>
        <w:pStyle w:val="ListBullet"/>
      </w:pPr>
      <w:r>
        <w:t>Extract every explicit figure (growth, inflation, policy rate, debt) into a table with the exact quote and source — and keep both numbers when two documents disagree.</w:t>
      </w:r>
    </w:p>
    <w:p>
      <w:pPr>
        <w:pStyle w:val="Heading2"/>
      </w:pPr>
      <w:r>
        <w:t>How to work with this team</w:t>
      </w:r>
    </w:p>
    <w:p>
      <w:pPr>
        <w:spacing w:after="120" w:before="0"/>
      </w:pPr>
      <w:r>
        <w:rPr>
          <w:b w:val="0"/>
          <w:i/>
          <w:color w:val="556677"/>
          <w:sz w:val="22"/>
        </w:rPr>
        <w:t>Upload Doc1, Doc2, and Doc3 together to a new Claude chat. The Topic 3 and Topic 4 prompts are written to work for any team because the files are always named the same way. Keep the grounding rule on the whole session: every claim needs a short exact quote and the document it came from; if a document does not say something, the answer is ‘not stated’.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