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03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Germany — three views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#3 · Germany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2024 Article IV Staff Report</w:t>
      </w:r>
      <w:r>
        <w:t xml:space="preserve">  (IMF · Germany · 2024)</w:t>
      </w:r>
    </w:p>
    <w:p>
      <w:pPr>
        <w:pStyle w:val="ListBullet"/>
      </w:pPr>
      <w:r>
        <w:rPr>
          <w:b/>
        </w:rPr>
        <w:t>Doc2 — IMF Board Concludes 2025 Article IV</w:t>
      </w:r>
      <w:r>
        <w:t xml:space="preserve">  (IMF · Germany · 2026)</w:t>
      </w:r>
    </w:p>
    <w:p>
      <w:pPr>
        <w:pStyle w:val="ListBullet"/>
      </w:pPr>
      <w:r>
        <w:rPr>
          <w:b/>
        </w:rPr>
        <w:t>Doc3 — OECD Economic Survey: Germany 2025</w:t>
      </w:r>
      <w:r>
        <w:t xml:space="preserve">  (OECD · Germany · 2025)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https://www.imf.org/en/publications/cr/issues/2024/07/17/germany-2024-article-iv-consultation-press-release-staff-report-and-statement-by-the-552080</w:t>
      </w:r>
    </w:p>
    <w:p>
      <w:pPr>
        <w:pStyle w:val="ListBullet"/>
      </w:pPr>
      <w:r>
        <w:rPr>
          <w:b/>
        </w:rPr>
        <w:t xml:space="preserve">Doc2: </w:t>
      </w:r>
      <w:r>
        <w:t>https://www.imf.org/en/news/articles/2026/02/11/pr26042-germany-imf-executive-board-concludes-2025-article-iv-consultation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https://www.oecd.org/en/publications/oecd-economic-surveys-germany-2025_39d62aed-en/full-report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Germany's economy.</w:t>
      </w:r>
    </w:p>
    <w:p>
      <w:pPr>
        <w:pStyle w:val="ListBullet"/>
      </w:pPr>
      <w:r>
        <w:t>They come from different institutions (IMF, OECD), so the same economy or question is described from more than one vantage point.</w:t>
      </w:r>
    </w:p>
    <w:p>
      <w:pPr>
        <w:pStyle w:val="ListBullet"/>
      </w:pPr>
      <w:r>
        <w:t>They span 2024–2026,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Germany's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