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02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China — Fund &amp; World Bank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 · China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China · 2026)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China · 2026)</w:t>
      </w:r>
    </w:p>
    <w:p>
      <w:pPr>
        <w:pStyle w:val="ListBullet"/>
      </w:pPr>
      <w:r>
        <w:rPr>
          <w:b/>
        </w:rPr>
        <w:t>Doc3 — China Economic Update, Jun 2025</w:t>
      </w:r>
      <w:r>
        <w:t xml:space="preserve">  (World Bank · China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https://www.imf.org/-/media/files/publications/cr/2026/english/1chnea2026001-source-pdf.pdf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https://www.imf.org/en/News/Articles/2026/02/18/pr-26053-china-imf-executive-board-concludes-2025-article-iv-consultation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https://thedocs.worldbank.org/en/doc/8ae5ce818673952a85fee1ee57c3e933-0070012025/china-economic-update-june-2025-en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China's economy.</w:t>
      </w:r>
    </w:p>
    <w:p>
      <w:pPr>
        <w:pStyle w:val="ListBullet"/>
      </w:pPr>
      <w:r>
        <w:t>They come from different institutions (IMF, World Bank), so the same economy or question is described from more than one vantage point.</w:t>
      </w:r>
    </w:p>
    <w:p>
      <w:pPr>
        <w:pStyle w:val="ListBullet"/>
      </w:pPr>
      <w:r>
        <w:t>They span 2025–2026,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China's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